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45" w:rsidRDefault="00464C2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t>Date:</w:t>
      </w:r>
      <w:r w:rsidR="00A75392">
        <w:rPr>
          <w:rFonts w:ascii="Twinkl" w:eastAsia="Twinkl" w:hAnsi="Twinkl" w:cs="Twinkl"/>
          <w:b/>
          <w:sz w:val="34"/>
          <w:szCs w:val="34"/>
        </w:rPr>
        <w:t>01</w:t>
      </w:r>
      <w:r>
        <w:rPr>
          <w:rFonts w:ascii="Twinkl" w:eastAsia="Twinkl" w:hAnsi="Twinkl" w:cs="Twinkl"/>
          <w:b/>
          <w:sz w:val="34"/>
          <w:szCs w:val="34"/>
        </w:rPr>
        <w:t>/0</w:t>
      </w:r>
      <w:r w:rsidR="00A75392">
        <w:rPr>
          <w:rFonts w:ascii="Twinkl" w:eastAsia="Twinkl" w:hAnsi="Twinkl" w:cs="Twinkl"/>
          <w:b/>
          <w:sz w:val="34"/>
          <w:szCs w:val="34"/>
        </w:rPr>
        <w:t>3</w:t>
      </w:r>
      <w:r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464C2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A75392">
        <w:rPr>
          <w:rFonts w:ascii="Twinkl" w:eastAsia="Twinkl" w:hAnsi="Twinkl" w:cs="Twinkl"/>
          <w:sz w:val="40"/>
          <w:szCs w:val="40"/>
        </w:rPr>
        <w:t>04/03</w:t>
      </w:r>
      <w:r>
        <w:rPr>
          <w:rFonts w:ascii="Twinkl" w:eastAsia="Twinkl" w:hAnsi="Twinkl" w:cs="Twinkl"/>
          <w:sz w:val="40"/>
          <w:szCs w:val="40"/>
        </w:rPr>
        <w:t>/</w:t>
      </w:r>
      <w:proofErr w:type="gramStart"/>
      <w:r>
        <w:rPr>
          <w:rFonts w:ascii="Twinkl" w:eastAsia="Twinkl" w:hAnsi="Twinkl" w:cs="Twinkl"/>
          <w:sz w:val="40"/>
          <w:szCs w:val="40"/>
        </w:rPr>
        <w:t>22 .</w:t>
      </w:r>
      <w:proofErr w:type="gramEnd"/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automatic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autopilot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autobiography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autograph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autofocus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superstar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superman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superior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supernatural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730B1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superior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  <w:bookmarkStart w:id="0" w:name="_heading=h.gjdgxs" w:colFirst="0" w:colLast="0"/>
            <w:bookmarkEnd w:id="0"/>
          </w:p>
        </w:tc>
      </w:tr>
    </w:tbl>
    <w:p w:rsidR="00A75392" w:rsidRDefault="00A75392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64C2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 w:rsidR="00A75392">
        <w:rPr>
          <w:rFonts w:ascii="Twinkl" w:eastAsia="Twinkl" w:hAnsi="Twinkl" w:cs="Twinkl"/>
          <w:b/>
          <w:sz w:val="34"/>
          <w:szCs w:val="34"/>
          <w:u w:val="single"/>
        </w:rPr>
        <w:t>01/03/22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464C2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04/0</w:t>
      </w:r>
      <w:r w:rsidR="00A75392">
        <w:rPr>
          <w:rFonts w:ascii="Twinkl" w:eastAsia="Twinkl" w:hAnsi="Twinkl" w:cs="Twinkl"/>
          <w:sz w:val="40"/>
          <w:szCs w:val="40"/>
        </w:rPr>
        <w:t>3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A75392">
        <w:trPr>
          <w:trHeight w:val="713"/>
        </w:trPr>
        <w:tc>
          <w:tcPr>
            <w:tcW w:w="2668" w:type="dxa"/>
          </w:tcPr>
          <w:p w:rsidR="00A75392" w:rsidRPr="00A75392" w:rsidRDefault="00730B1A" w:rsidP="00A7539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autopilot</w:t>
            </w:r>
          </w:p>
        </w:tc>
        <w:tc>
          <w:tcPr>
            <w:tcW w:w="828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75392">
        <w:trPr>
          <w:trHeight w:val="713"/>
        </w:trPr>
        <w:tc>
          <w:tcPr>
            <w:tcW w:w="2668" w:type="dxa"/>
          </w:tcPr>
          <w:p w:rsidR="00A75392" w:rsidRPr="00A75392" w:rsidRDefault="00730B1A" w:rsidP="00A7539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autobiography</w:t>
            </w:r>
          </w:p>
        </w:tc>
        <w:tc>
          <w:tcPr>
            <w:tcW w:w="828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75392">
        <w:trPr>
          <w:trHeight w:val="713"/>
        </w:trPr>
        <w:tc>
          <w:tcPr>
            <w:tcW w:w="2668" w:type="dxa"/>
          </w:tcPr>
          <w:p w:rsidR="00A75392" w:rsidRPr="00A75392" w:rsidRDefault="00730B1A" w:rsidP="00A7539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autograph</w:t>
            </w:r>
          </w:p>
        </w:tc>
        <w:tc>
          <w:tcPr>
            <w:tcW w:w="828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75392">
        <w:trPr>
          <w:trHeight w:val="713"/>
        </w:trPr>
        <w:tc>
          <w:tcPr>
            <w:tcW w:w="2668" w:type="dxa"/>
          </w:tcPr>
          <w:p w:rsidR="00A75392" w:rsidRPr="00A75392" w:rsidRDefault="00730B1A" w:rsidP="00A7539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autofocus</w:t>
            </w:r>
          </w:p>
        </w:tc>
        <w:tc>
          <w:tcPr>
            <w:tcW w:w="828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75392">
        <w:trPr>
          <w:trHeight w:val="713"/>
        </w:trPr>
        <w:tc>
          <w:tcPr>
            <w:tcW w:w="2668" w:type="dxa"/>
          </w:tcPr>
          <w:p w:rsidR="00A75392" w:rsidRPr="00A75392" w:rsidRDefault="00730B1A" w:rsidP="00A7539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superstar</w:t>
            </w:r>
          </w:p>
        </w:tc>
        <w:tc>
          <w:tcPr>
            <w:tcW w:w="828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75392">
        <w:trPr>
          <w:trHeight w:val="713"/>
        </w:trPr>
        <w:tc>
          <w:tcPr>
            <w:tcW w:w="2668" w:type="dxa"/>
          </w:tcPr>
          <w:p w:rsidR="00A75392" w:rsidRPr="00A75392" w:rsidRDefault="00730B1A" w:rsidP="00A7539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superman</w:t>
            </w:r>
          </w:p>
        </w:tc>
        <w:tc>
          <w:tcPr>
            <w:tcW w:w="828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75392">
        <w:trPr>
          <w:trHeight w:val="713"/>
        </w:trPr>
        <w:tc>
          <w:tcPr>
            <w:tcW w:w="2668" w:type="dxa"/>
          </w:tcPr>
          <w:p w:rsidR="00A75392" w:rsidRPr="00A75392" w:rsidRDefault="00730B1A" w:rsidP="00A7539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superior</w:t>
            </w:r>
          </w:p>
        </w:tc>
        <w:tc>
          <w:tcPr>
            <w:tcW w:w="828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75392">
        <w:trPr>
          <w:trHeight w:val="713"/>
        </w:trPr>
        <w:tc>
          <w:tcPr>
            <w:tcW w:w="2668" w:type="dxa"/>
          </w:tcPr>
          <w:p w:rsidR="00A75392" w:rsidRPr="00A75392" w:rsidRDefault="00730B1A" w:rsidP="00A75392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 w:rsidRPr="00A75392">
              <w:rPr>
                <w:rFonts w:ascii="Twinkl" w:eastAsia="Twinkl" w:hAnsi="Twinkl" w:cs="Twinkl"/>
                <w:sz w:val="36"/>
                <w:szCs w:val="40"/>
              </w:rPr>
              <w:t>supernatural</w:t>
            </w:r>
          </w:p>
        </w:tc>
        <w:tc>
          <w:tcPr>
            <w:tcW w:w="828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75392" w:rsidRDefault="00A75392" w:rsidP="00A7539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64C2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>
        <w:rPr>
          <w:rFonts w:ascii="Twinkl" w:eastAsia="Twinkl" w:hAnsi="Twinkl" w:cs="Twinkl"/>
          <w:b/>
          <w:sz w:val="34"/>
          <w:szCs w:val="34"/>
        </w:rPr>
        <w:t>01/03/22</w:t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464C2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04/03</w:t>
      </w:r>
      <w:bookmarkStart w:id="1" w:name="_GoBack"/>
      <w:bookmarkEnd w:id="1"/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>
        <w:trPr>
          <w:trHeight w:val="874"/>
        </w:trPr>
        <w:tc>
          <w:tcPr>
            <w:tcW w:w="2636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443645" w:rsidRDefault="00464C2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1050"/>
        </w:trPr>
        <w:tc>
          <w:tcPr>
            <w:tcW w:w="2636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:rsidR="00443645" w:rsidRDefault="00464C2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443645" w:rsidRDefault="00464C2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730B1A">
            <w:pPr>
              <w:rPr>
                <w:rFonts w:ascii="Twinkl" w:eastAsia="Twinkl" w:hAnsi="Twinkl" w:cs="Twinkl"/>
                <w:sz w:val="52"/>
                <w:szCs w:val="40"/>
              </w:rPr>
            </w:pPr>
            <w:r w:rsidRPr="00730B1A">
              <w:rPr>
                <w:rFonts w:ascii="Twinkl" w:eastAsia="Twinkl" w:hAnsi="Twinkl" w:cs="Twinkl"/>
                <w:sz w:val="52"/>
                <w:szCs w:val="40"/>
              </w:rPr>
              <w:t>the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730B1A">
            <w:pPr>
              <w:rPr>
                <w:rFonts w:ascii="Twinkl" w:eastAsia="Twinkl" w:hAnsi="Twinkl" w:cs="Twinkl"/>
                <w:sz w:val="52"/>
                <w:szCs w:val="40"/>
              </w:rPr>
            </w:pPr>
            <w:r w:rsidRPr="00730B1A">
              <w:rPr>
                <w:rFonts w:ascii="Twinkl" w:eastAsia="Twinkl" w:hAnsi="Twinkl" w:cs="Twinkl"/>
                <w:sz w:val="52"/>
                <w:szCs w:val="40"/>
              </w:rPr>
              <w:t>that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730B1A">
            <w:pPr>
              <w:rPr>
                <w:rFonts w:ascii="Twinkl" w:eastAsia="Twinkl" w:hAnsi="Twinkl" w:cs="Twinkl"/>
                <w:sz w:val="52"/>
                <w:szCs w:val="40"/>
              </w:rPr>
            </w:pPr>
            <w:r w:rsidRPr="00730B1A">
              <w:rPr>
                <w:rFonts w:ascii="Twinkl" w:eastAsia="Twinkl" w:hAnsi="Twinkl" w:cs="Twinkl"/>
                <w:sz w:val="52"/>
                <w:szCs w:val="40"/>
              </w:rPr>
              <w:t>not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730B1A">
            <w:pPr>
              <w:rPr>
                <w:rFonts w:ascii="Twinkl" w:eastAsia="Twinkl" w:hAnsi="Twinkl" w:cs="Twinkl"/>
                <w:sz w:val="52"/>
                <w:szCs w:val="40"/>
              </w:rPr>
            </w:pPr>
            <w:r w:rsidRPr="00730B1A">
              <w:rPr>
                <w:rFonts w:ascii="Twinkl" w:eastAsia="Twinkl" w:hAnsi="Twinkl" w:cs="Twinkl"/>
                <w:sz w:val="52"/>
                <w:szCs w:val="40"/>
              </w:rPr>
              <w:t>look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730B1A">
            <w:pPr>
              <w:rPr>
                <w:rFonts w:ascii="Twinkl" w:eastAsia="Twinkl" w:hAnsi="Twinkl" w:cs="Twinkl"/>
                <w:sz w:val="52"/>
                <w:szCs w:val="40"/>
              </w:rPr>
            </w:pPr>
            <w:r w:rsidRPr="00730B1A">
              <w:rPr>
                <w:rFonts w:ascii="Twinkl" w:eastAsia="Twinkl" w:hAnsi="Twinkl" w:cs="Twinkl"/>
                <w:sz w:val="52"/>
                <w:szCs w:val="40"/>
              </w:rPr>
              <w:t>put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:rsidR="00443645" w:rsidRDefault="00443645">
      <w:pPr>
        <w:rPr>
          <w:rFonts w:ascii="Twinkl" w:eastAsia="Twinkl" w:hAnsi="Twinkl" w:cs="Twinkl"/>
          <w:sz w:val="40"/>
          <w:szCs w:val="40"/>
        </w:rPr>
      </w:pPr>
    </w:p>
    <w:sectPr w:rsidR="00443645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443645"/>
    <w:rsid w:val="00464C20"/>
    <w:rsid w:val="00730B1A"/>
    <w:rsid w:val="00A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7407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3</cp:revision>
  <dcterms:created xsi:type="dcterms:W3CDTF">2022-02-28T09:54:00Z</dcterms:created>
  <dcterms:modified xsi:type="dcterms:W3CDTF">2022-02-28T09:54:00Z</dcterms:modified>
</cp:coreProperties>
</file>